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放射诊疗场所环境监测技术服务年度供应商</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lang w:eastAsia="zh-CN"/>
        </w:rPr>
        <w:t>（项目编码：DY-HFW-20230531-315）项目要求及清单</w:t>
      </w:r>
    </w:p>
    <w:p>
      <w:pPr>
        <w:pStyle w:val="5"/>
        <w:widowControl/>
        <w:numPr>
          <w:ilvl w:val="0"/>
          <w:numId w:val="0"/>
        </w:numPr>
        <w:shd w:val="clear" w:color="auto" w:fill="FFFFFF"/>
        <w:spacing w:before="150" w:after="150" w:line="360" w:lineRule="auto"/>
        <w:rPr>
          <w:rFonts w:hint="eastAsia" w:cs="宋体"/>
          <w:b/>
          <w:bCs/>
          <w:shd w:val="clear" w:color="auto" w:fill="FFFFFF"/>
          <w:lang w:eastAsia="zh-CN"/>
        </w:rPr>
      </w:pPr>
      <w:r>
        <w:rPr>
          <w:rFonts w:hint="eastAsia" w:cs="宋体"/>
          <w:b/>
          <w:bCs/>
          <w:shd w:val="clear" w:color="auto" w:fill="FFFFFF"/>
          <w:lang w:eastAsia="zh-CN"/>
        </w:rPr>
        <w:t>一、要求：</w:t>
      </w:r>
    </w:p>
    <w:p>
      <w:pPr>
        <w:keepNext w:val="0"/>
        <w:keepLines w:val="0"/>
        <w:pageBreakBefore w:val="0"/>
        <w:numPr>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lang w:val="en-US" w:eastAsia="zh-CN"/>
        </w:rPr>
        <w:t>1、</w:t>
      </w:r>
      <w:r>
        <w:rPr>
          <w:rFonts w:hint="eastAsia" w:ascii="宋体" w:hAnsi="宋体" w:eastAsia="宋体" w:cs="宋体"/>
          <w:sz w:val="21"/>
          <w:szCs w:val="21"/>
          <w:shd w:val="clear" w:color="auto" w:fill="FFFFFF"/>
        </w:rPr>
        <w:t>具有能独立开展相应技术服务工作的人员及环境级辐射监测仪器；</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lang w:val="en-US" w:eastAsia="zh-CN"/>
        </w:rPr>
        <w:t>2、</w:t>
      </w:r>
      <w:r>
        <w:rPr>
          <w:rFonts w:hint="eastAsia" w:ascii="宋体" w:hAnsi="宋体" w:eastAsia="宋体" w:cs="宋体"/>
          <w:sz w:val="21"/>
          <w:szCs w:val="21"/>
          <w:shd w:val="clear" w:color="auto" w:fill="FFFFFF"/>
        </w:rPr>
        <w:t>有固定的办公场所和从事相应技术服务的工作场所、工作条件；</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lang w:val="en-US" w:eastAsia="zh-CN"/>
        </w:rPr>
        <w:t>3、</w:t>
      </w:r>
      <w:r>
        <w:rPr>
          <w:rFonts w:hint="eastAsia" w:ascii="宋体" w:hAnsi="宋体" w:eastAsia="宋体" w:cs="宋体"/>
          <w:sz w:val="21"/>
          <w:szCs w:val="21"/>
          <w:shd w:val="clear" w:color="auto" w:fill="FFFFFF"/>
        </w:rPr>
        <w:t>具有从事环境影响评价的工程师进行日常辐射安全工作指导；</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shd w:val="clear" w:color="auto" w:fill="FFFFFF"/>
          <w:lang w:val="en-US" w:eastAsia="zh-CN"/>
        </w:rPr>
        <w:t>4、</w:t>
      </w:r>
      <w:r>
        <w:rPr>
          <w:rFonts w:hint="eastAsia" w:ascii="宋体" w:hAnsi="宋体" w:eastAsia="宋体" w:cs="宋体"/>
          <w:sz w:val="21"/>
          <w:szCs w:val="21"/>
        </w:rPr>
        <w:t>接甲方通知后15个工作日内完成监测，并出具符合生态环保主管部门要求的监测报告</w:t>
      </w:r>
      <w:r>
        <w:rPr>
          <w:rFonts w:hint="eastAsia" w:ascii="宋体" w:hAnsi="宋体" w:eastAsia="宋体" w:cs="宋体"/>
          <w:sz w:val="21"/>
          <w:szCs w:val="21"/>
          <w:lang w:eastAsia="zh-CN"/>
        </w:rPr>
        <w:t>；</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5、售后服务：标准必须与市场标准服务一致，同时还应包括：检测报告不详实、有误、缺页等情况，甲方有权要求重新检测或补全报告；无偿提供7*8小时技术服务支持；2小时内电话响应，5个工作日现场服务（乙方怠于履行质保责任或者质保不合格时，甲方可采取必要的补救措施(自行修复更换或委托第三人修复更换)，所产生的所有费用及风险由乙方承担，同时乙方应承担违约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6、对每一台射线装置及场所真实客观的检测，检测时使用仪器设备、检测的点位、检测出的数据、必须满足环保行业规定的要求；</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7、对本次拟监测的放射室周围和核医学工作场所辐射环境状况必须依据CMA计量认证证书中的：①《辐射环境监测技术规范》HJ/T61-2001②《环境γ辐射剂量率测定技术规范》HJ 1157-2021③《γ照射装置的辐射防护与安全规定》GB10252-2009④《表面污染测定第1部分β发射体（Eβmax＞0.15MeV）和α发射体》GB/T14056.1-2008的规定监测并编制报告；</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8、检测机构应遵守有关的安全规定，制定安全制度，检测现场应设置安全管理员，采取有效防护措施保证人员及建筑物内人员的安全，并保护好环境，否则，由此带来的事故、人员伤亡、设备损坏等一切法律责任由中标方自行负责，与医院无关；</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9、符合原四川省物价局和四川省财政厅出具的川价函【2007】6号文件《关于四川省物价局和四川省财政厅调整环境监测服务收费标准的函》内的价格标准；</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150" w:after="150" w:line="460" w:lineRule="exact"/>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lang w:val="en-US" w:eastAsia="zh-CN"/>
        </w:rPr>
        <w:t>10、乙方每次检测完成后向甲方提供详细的检测设备清单，出具符合环保主管部门要求的监测报告；</w:t>
      </w:r>
    </w:p>
    <w:p>
      <w:pPr>
        <w:pStyle w:val="5"/>
        <w:widowControl/>
        <w:numPr>
          <w:numId w:val="0"/>
        </w:numPr>
        <w:shd w:val="clear" w:color="auto" w:fill="FFFFFF"/>
        <w:spacing w:before="150" w:after="150" w:line="360" w:lineRule="auto"/>
        <w:rPr>
          <w:rFonts w:hint="eastAsia" w:eastAsia="宋体" w:cs="宋体"/>
          <w:b/>
          <w:bCs/>
          <w:shd w:val="clear" w:color="auto" w:fill="FFFFFF"/>
          <w:lang w:eastAsia="zh-CN"/>
        </w:rPr>
      </w:pPr>
      <w:r>
        <w:rPr>
          <w:rFonts w:hint="eastAsia" w:cs="宋体"/>
          <w:b/>
          <w:bCs/>
          <w:shd w:val="clear" w:color="auto" w:fill="FFFFFF"/>
          <w:lang w:eastAsia="zh-CN"/>
        </w:rPr>
        <w:t>二、清单：</w:t>
      </w:r>
    </w:p>
    <w:tbl>
      <w:tblPr>
        <w:tblStyle w:val="6"/>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086"/>
        <w:gridCol w:w="945"/>
        <w:gridCol w:w="458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20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服务项目</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单位</w:t>
            </w:r>
          </w:p>
        </w:tc>
        <w:tc>
          <w:tcPr>
            <w:tcW w:w="458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服务要求</w:t>
            </w:r>
          </w:p>
        </w:tc>
        <w:tc>
          <w:tcPr>
            <w:tcW w:w="174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0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X-γ辐射剂量率监测</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处</w:t>
            </w:r>
          </w:p>
        </w:tc>
        <w:tc>
          <w:tcPr>
            <w:tcW w:w="45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Ⅱ、Ⅲ类射线装置及放射源监测</w:t>
            </w:r>
          </w:p>
        </w:tc>
        <w:tc>
          <w:tcPr>
            <w:tcW w:w="1743"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≤1500元/处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0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X-γ辐射剂量率监测</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处</w:t>
            </w:r>
          </w:p>
        </w:tc>
        <w:tc>
          <w:tcPr>
            <w:tcW w:w="4580" w:type="dxa"/>
            <w:vMerge w:val="restart"/>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核医学科，活性室、药物负荷运动室、标记测定室、ECT操作室、分药室等房间监测</w:t>
            </w:r>
          </w:p>
        </w:tc>
        <w:tc>
          <w:tcPr>
            <w:tcW w:w="1743" w:type="dxa"/>
            <w:vMerge w:val="restart"/>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≤2500元/处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0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α-β表面污染监测</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处</w:t>
            </w:r>
          </w:p>
        </w:tc>
        <w:tc>
          <w:tcPr>
            <w:tcW w:w="4580" w:type="dxa"/>
            <w:vMerge w:val="continue"/>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p>
        </w:tc>
        <w:tc>
          <w:tcPr>
            <w:tcW w:w="1743"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1"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086"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X-γ辐射剂量率监测及α-β表面污染监测</w:t>
            </w:r>
          </w:p>
        </w:tc>
        <w:tc>
          <w:tcPr>
            <w:tcW w:w="945"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处</w:t>
            </w:r>
          </w:p>
        </w:tc>
        <w:tc>
          <w:tcPr>
            <w:tcW w:w="4580"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①I-125粒子存放间、分装间、活性室、废物间</w:t>
            </w:r>
          </w:p>
          <w:p>
            <w:pPr>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 xml:space="preserve">②I-125粒子消毒场所 </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③I-125粒子植入场所：</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复合手术室、DSA(一)、DSA（二）、外科CT室（一）、外科CT室（一）、外科大楼手术室第11间、12间、13间</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④粒子病房：</w:t>
            </w:r>
            <w:r>
              <w:rPr>
                <w:rFonts w:hint="eastAsia" w:ascii="宋体" w:hAnsi="宋体" w:eastAsia="宋体" w:cs="宋体"/>
                <w:sz w:val="21"/>
                <w:szCs w:val="21"/>
              </w:rPr>
              <w:br w:type="textWrapping"/>
            </w:r>
            <w:r>
              <w:rPr>
                <w:rFonts w:hint="eastAsia" w:ascii="宋体" w:hAnsi="宋体" w:eastAsia="宋体" w:cs="宋体"/>
                <w:sz w:val="21"/>
                <w:szCs w:val="21"/>
              </w:rPr>
              <w:t>外科大楼：肝胆外科415（45床、46床）、肝胆外科416（47床）</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胃肠外科515（45床、46床）</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ICU（40床、41床）</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肿瘤科二楼：三十一（88床）、三十二（89床）</w:t>
            </w:r>
          </w:p>
          <w:p>
            <w:pPr>
              <w:pStyle w:val="2"/>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sz w:val="21"/>
                <w:szCs w:val="21"/>
              </w:rPr>
            </w:pPr>
            <w:r>
              <w:rPr>
                <w:rFonts w:hint="eastAsia" w:ascii="宋体" w:hAnsi="宋体" w:eastAsia="宋体" w:cs="宋体"/>
                <w:sz w:val="21"/>
                <w:szCs w:val="21"/>
              </w:rPr>
              <w:t>南苑五楼：503（5-6床）、504（7床）、505（8床）、506（9-10床）、507（11-12床）、508（13床）</w:t>
            </w:r>
          </w:p>
        </w:tc>
        <w:tc>
          <w:tcPr>
            <w:tcW w:w="1743" w:type="dxa"/>
            <w:tcBorders>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≤2500元/处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20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总α、总β监测</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样</w:t>
            </w:r>
          </w:p>
        </w:tc>
        <w:tc>
          <w:tcPr>
            <w:tcW w:w="45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核医学科废水衰变池和医院总排放口各取水样一个进行监测分析</w:t>
            </w:r>
          </w:p>
        </w:tc>
        <w:tc>
          <w:tcPr>
            <w:tcW w:w="1743"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≤1500元/样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208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安全分析报告</w:t>
            </w:r>
          </w:p>
        </w:tc>
        <w:tc>
          <w:tcPr>
            <w:tcW w:w="94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份</w:t>
            </w:r>
          </w:p>
        </w:tc>
        <w:tc>
          <w:tcPr>
            <w:tcW w:w="4580" w:type="dxa"/>
            <w:tcBorders>
              <w:top w:val="single" w:color="auto" w:sz="4" w:space="0"/>
              <w:left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编制核素增量、射线装置更换等环保部门要求的辐射安全分析报告</w:t>
            </w:r>
          </w:p>
        </w:tc>
        <w:tc>
          <w:tcPr>
            <w:tcW w:w="1743" w:type="dxa"/>
            <w:tcBorders>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80" w:lineRule="atLeast"/>
              <w:jc w:val="center"/>
              <w:textAlignment w:val="auto"/>
              <w:rPr>
                <w:rFonts w:hint="eastAsia" w:ascii="宋体" w:hAnsi="宋体" w:eastAsia="宋体" w:cs="宋体"/>
                <w:sz w:val="21"/>
                <w:szCs w:val="21"/>
              </w:rPr>
            </w:pPr>
            <w:r>
              <w:rPr>
                <w:rFonts w:hint="eastAsia" w:ascii="宋体" w:hAnsi="宋体" w:eastAsia="宋体" w:cs="宋体"/>
                <w:sz w:val="21"/>
                <w:szCs w:val="21"/>
              </w:rPr>
              <w:t>≤15000元/份</w:t>
            </w:r>
          </w:p>
        </w:tc>
      </w:tr>
    </w:tbl>
    <w:p>
      <w:pPr>
        <w:rPr>
          <w:sz w:val="24"/>
        </w:rPr>
      </w:pPr>
    </w:p>
    <w:p>
      <w:pPr>
        <w:numPr>
          <w:ilvl w:val="0"/>
          <w:numId w:val="0"/>
        </w:numPr>
        <w:jc w:val="left"/>
        <w:rPr>
          <w:rFonts w:hint="eastAsia" w:ascii="宋体" w:hAnsi="宋体" w:eastAsia="宋体" w:cs="宋体"/>
          <w:sz w:val="28"/>
          <w:szCs w:val="28"/>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4MzJhY2VjZDlhNjcyMGNjZGYxMmY2MGYzYTEzN2IifQ=="/>
  </w:docVars>
  <w:rsids>
    <w:rsidRoot w:val="00BF3EB7"/>
    <w:rsid w:val="009D64D6"/>
    <w:rsid w:val="00BF3EB7"/>
    <w:rsid w:val="19802968"/>
    <w:rsid w:val="3E8F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paragraph" w:customStyle="1" w:styleId="11">
    <w:name w:val="p0"/>
    <w:qFormat/>
    <w:uiPriority w:val="0"/>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491</Words>
  <Characters>538</Characters>
  <Lines>1</Lines>
  <Paragraphs>1</Paragraphs>
  <TotalTime>2</TotalTime>
  <ScaleCrop>false</ScaleCrop>
  <LinksUpToDate>false</LinksUpToDate>
  <CharactersWithSpaces>562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2023-05-26T07:02:00Z</dcterms:created>
  <dc:creator>郑昊</dc:creator>
  <cp:lastModifiedBy>USER</cp:lastModifiedBy>
  <cp:lastPrinted>2023-05-31T07:49:08Z</cp:lastPrinted>
  <dcterms:modified xsi:type="dcterms:W3CDTF">2023-05-31T07:49:13Z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0400338E3BCC46BB94757E3A9F9698BF_12</vt:lpwstr>
  </property>
</Properties>
</file>